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1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spacing w:before="312" w:beforeLines="100" w:after="312" w:afterLines="100" w:line="66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在线“第壹讲堂”之——《向华为学管理》系列课程介绍</w:t>
      </w:r>
      <w:bookmarkEnd w:id="0"/>
    </w:p>
    <w:p>
      <w:pPr>
        <w:widowControl/>
        <w:spacing w:line="60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一、项目概要</w:t>
      </w:r>
    </w:p>
    <w:p>
      <w:pPr>
        <w:widowControl/>
        <w:spacing w:line="600" w:lineRule="exact"/>
        <w:ind w:firstLine="640" w:firstLineChars="200"/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向华为学管理》系列课程邀请华为公司多位资深前高管联袂开发，围绕多个主题和学习模块，全面深度地剖析了华为的企业文化与核心价值观、战略与经营、组织与流程变革、人力资源、营销、财经等主题内容，全年课程做到理论与实践相结合，系统化且可落地，具有较强的指导意义。</w:t>
      </w:r>
    </w:p>
    <w:p>
      <w:pPr>
        <w:widowControl/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二、参加对象</w:t>
      </w:r>
    </w:p>
    <w:p>
      <w:pPr>
        <w:widowControl/>
        <w:spacing w:line="600" w:lineRule="exact"/>
        <w:ind w:firstLine="640" w:firstLineChars="200"/>
        <w:rPr>
          <w:rFonts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各企业董事长、总经理、副总经理、企业中高层经营管理人员、各级经济管理干部等。</w:t>
      </w:r>
    </w:p>
    <w:p>
      <w:pPr>
        <w:widowControl/>
        <w:spacing w:after="156" w:afterLines="5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三、具体学习安排表</w:t>
      </w:r>
    </w:p>
    <w:tbl>
      <w:tblPr>
        <w:tblStyle w:val="6"/>
        <w:tblW w:w="5143" w:type="pct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2143"/>
        <w:gridCol w:w="534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0" w:hRule="atLeast"/>
        </w:trPr>
        <w:tc>
          <w:tcPr>
            <w:tcW w:w="1134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直播时间</w:t>
            </w:r>
          </w:p>
        </w:tc>
        <w:tc>
          <w:tcPr>
            <w:tcW w:w="2826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分享主题</w:t>
            </w:r>
          </w:p>
        </w:tc>
        <w:tc>
          <w:tcPr>
            <w:tcW w:w="1038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分享嘉宾</w:t>
            </w:r>
          </w:p>
        </w:tc>
      </w:tr>
      <w:tr>
        <w:trPr>
          <w:trHeight w:val="1997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2023年2月12日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4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《取智华为——高难度团队任务突破与解决》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一、认知高难度任务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二、构建高难度任务解决系统方案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三、军团任务汇演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王老师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华为全球培训中心特聘讲师</w:t>
            </w:r>
          </w:p>
        </w:tc>
      </w:tr>
      <w:tr>
        <w:trPr>
          <w:trHeight w:val="1732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2023年2月19日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40" w:lineRule="exact"/>
              <w:textAlignment w:val="center"/>
              <w:rPr>
                <w:rStyle w:val="12"/>
                <w:rFonts w:hint="default" w:ascii="宋体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Style w:val="12"/>
                <w:rFonts w:hint="default" w:ascii="宋体" w:hAnsi="宋体" w:cs="宋体"/>
                <w:b/>
                <w:bCs/>
                <w:sz w:val="24"/>
                <w:szCs w:val="24"/>
                <w:lang w:bidi="ar"/>
              </w:rPr>
              <w:t>《规则与管理变革》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Style w:val="12"/>
                <w:rFonts w:hint="default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一、重拾规则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二、规则的形成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三、规则的效用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Style w:val="12"/>
                <w:rFonts w:hint="default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四、规则体系的设计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王老师</w:t>
            </w:r>
          </w:p>
          <w:p>
            <w:pPr>
              <w:widowControl/>
              <w:jc w:val="center"/>
              <w:textAlignment w:val="center"/>
              <w:rPr>
                <w:rStyle w:val="12"/>
                <w:rFonts w:hint="default"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华为业务流程与组织变革专家</w:t>
            </w:r>
          </w:p>
        </w:tc>
      </w:tr>
      <w:tr>
        <w:trPr>
          <w:trHeight w:val="239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2023年3月5日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《支撑企业长期持续增长的产品创新》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一、产品创新开发流程概述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二、产品创新开发流程体系详解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三、不确定环境下企业如何持续增长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蒋老师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华为原流程与变革副总监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2023年3月12日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《激发组织活力的华为激励实践》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一、员工激励的需求层次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二、华为全面激励实践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三、管理者日常激励法则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四、新生代激励的要点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华为原人力资源总裁助理</w:t>
            </w:r>
          </w:p>
        </w:tc>
      </w:tr>
      <w:tr>
        <w:trPr>
          <w:trHeight w:val="242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2023年3月19日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《支持业绩十倍增的业财融合》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一、从组织、流程、激励、运营等角度</w:t>
            </w:r>
          </w:p>
          <w:p>
            <w:pPr>
              <w:widowControl/>
              <w:spacing w:line="380" w:lineRule="exact"/>
              <w:ind w:firstLine="960" w:firstLineChars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剖析业财融合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二、业财融合如何促进业务十倍増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何老师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华为财经战略规划专家，华为前区域CFO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2023年4月9日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《支撑商业成功的上市爆品操盘体系》（一）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一、战略方向及IPMS关键知识点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二、IPMS的价值和落地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三、如何打造2C营销能力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四、营销四大业务策略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许老师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华为原终端营销变革总监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2023年4月16日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《支撑商业成功的上市爆品操盘体系》（二）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一、战略方向及IPMS关键知识点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二、IPMS的价值和落地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三、如何打造2C营销能力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四、营销四大业务策略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许老师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华为原终端营销变革总监</w:t>
            </w:r>
          </w:p>
        </w:tc>
      </w:tr>
      <w:tr>
        <w:trPr>
          <w:trHeight w:val="272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2023年4月30日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《支撑商业成功的上市爆品操盘体系》（三）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一、战略方向及IPMS关键知识点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二、IPMS的价值和落地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三、如何打造2C营销能力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四、营销四大业务策略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许老师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华为原终端营销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变革总监</w:t>
            </w:r>
          </w:p>
        </w:tc>
      </w:tr>
      <w:tr>
        <w:trPr>
          <w:trHeight w:val="268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2023年5月14日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《全面预算管理》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一、预算指导原则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二、年度经营规划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三、项目预算管理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四、滚动预算管理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储老师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华为前副总裁</w:t>
            </w:r>
          </w:p>
        </w:tc>
      </w:tr>
      <w:tr>
        <w:trPr>
          <w:trHeight w:val="271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2023年5月28日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《华为管理经验对企业经营的借鉴》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一、源自《华为基本法》的基本经营逻辑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二、华为自己总结，并坚持了25年的大策略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三、学习大企业的小时候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四、经诸多中国企业验证的可复制性机制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蒋老师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华为管理经验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资深研究者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2023年6月11日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《企业如何破解人才发展困局》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一、人才的外引与内生动力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二、企业增长破解人才困局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三、人才培养的容错机制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四、基于结果以及关键行为的人才选拔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华为原后备干部系主任，“蓝血十杰”之一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2023年6月25日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《布阵点兵——“力出一孔”的组织经营管理》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一、绩效管理的误区和对绩效管理的正确理解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二、激励策略如何激发组织活力和战斗力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三、合理分配价值导向及分配的要素管理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华为原移动解决方案总裁，直接向董事长汇报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2023年7月2日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4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《财散人聚——华为可持续发展的动力源泉》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一、什么是华为的价值链管理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二、了解什么是华为的价值评价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三、华为的价值评价是怎么去做的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唐老师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华为人力资源委员会干部处顾问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2023年7月30日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4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《如何突破瓶颈，实现业绩规模化增长》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一、销售行为的标准化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二、契合业务的训战法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三、管理行为的标准化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四、业绩规模化的增三角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曾老师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华为大学特聘销售顾问</w:t>
            </w:r>
          </w:p>
        </w:tc>
      </w:tr>
      <w:tr>
        <w:trPr>
          <w:trHeight w:val="205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2023年8月6日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40" w:lineRule="exac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《面对危机-走出华为冬天的战略实践》（一）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一、华为的发展战略是如何引导的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二、怎么样支撑华为战略管理的方法论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三、遭遇重大危机时，华为如何面对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华为原移动解决方案总裁，直接向董事长汇报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2023年8月13日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40" w:lineRule="exac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《面对危机-走出华为冬天的战略实践》（二）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一、华为的发展战略是如何引导的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二、怎么样支撑华为战略管理的方法论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三、遭遇重大危机时，华为如何面对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华为原移动解决方案总裁，直接向董事长汇报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8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2023年8月27日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40" w:lineRule="exact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《面对危机-走出华为冬天的战略实践》（三）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一、华为的发展战略是如何引导的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二、怎么样支撑华为战略管理的方法论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三、遭遇重大危机时，华为如何面对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华为原移动解决方案总裁，直接向董事长汇报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2023年9月10日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4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《把能力建在组织上》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一、都江堰工程的启示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二、企业的使命、愿景与战略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三、组织与流程解码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四、把能力建在组织上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王老师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华为大学特聘教授、高级管理顾问，“蓝血十杰”之一</w:t>
            </w:r>
          </w:p>
        </w:tc>
      </w:tr>
      <w:tr>
        <w:trPr>
          <w:trHeight w:val="303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2023年9月17日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《客户第一 ---华为客户关系管理法》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一、客户关系管理概述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二、客户洞察与选择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三、客户关系规划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四、客户接触活动管理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五、客户档案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王老师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15年华为工作经历，海外销售管理专家，白俄代表处COO</w:t>
            </w:r>
          </w:p>
        </w:tc>
      </w:tr>
      <w:tr>
        <w:trPr>
          <w:trHeight w:val="269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2023年10月15日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《绩效管理怎么做最有效》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一、订单获取流程下组织KPI怎么设置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二、组织KPI的导出维度有哪些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三、个人业务承诺考核（PBC）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四、绩效中如何避雷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华为原后备干部系主任，“蓝血十杰”之一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2023年10月29日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《华为大学，将军摇篮》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一、大学定位与架构设置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二、快速提升新员工管理技能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三、战略预备队培训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四、干部选拔与导师运作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储老师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华为前副总裁</w:t>
            </w:r>
          </w:p>
        </w:tc>
      </w:tr>
      <w:tr>
        <w:trPr>
          <w:trHeight w:val="225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2023年11月12日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《激励人心的制度逻辑》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一、分名：基于专业的名誉分享机制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二、分权：基于职位的权力分享机制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三、分利：基于利益的薪酬分享机制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卞老师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华为原财经变革项目负责人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5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2023年11月19日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《认知企业文化根基》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一、文化即经营能力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二、文化即经营工具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三、文化即经营成就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四、文化即全局视野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鲁老师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华为原业务与软件全球行销副总裁</w:t>
            </w:r>
          </w:p>
        </w:tc>
      </w:tr>
      <w:tr>
        <w:trPr>
          <w:trHeight w:val="280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2023年12月10日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《业务成长驱动的变革管理与流程优化》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一、华为是怎么理解变革的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二、华为变革成功的关键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三、华为变革管理模型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四、以客户为中心的变革与流程优化体系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蒋老师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华为原流程与变革副总监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7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2023年12月24日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《华为战略管理体系》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一、战略管理思维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二、BLM战略模型概述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三、BEM业务执行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四、拆掉思维的墙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曹老师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华为内部高级讲师，国资委高级培训班讲师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20" w:hRule="atLeast"/>
        </w:trPr>
        <w:tc>
          <w:tcPr>
            <w:tcW w:w="1134" w:type="pc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2023年12月31日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上午9：00</w:t>
            </w:r>
          </w:p>
        </w:tc>
        <w:tc>
          <w:tcPr>
            <w:tcW w:w="2826" w:type="pct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分享主题：</w:t>
            </w:r>
          </w:p>
          <w:p>
            <w:pPr>
              <w:widowControl/>
              <w:spacing w:line="380" w:lineRule="exac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《打胜仗的信仰——业绩倍增之道》</w:t>
            </w:r>
          </w:p>
          <w:p>
            <w:pPr>
              <w:widowControl/>
              <w:spacing w:line="38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分享概要：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一、解读华为持续30年营收增长的底层认知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二、深刻理解华为业绩持续增长的六大原则</w:t>
            </w:r>
          </w:p>
        </w:tc>
        <w:tc>
          <w:tcPr>
            <w:tcW w:w="1038" w:type="pc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段老师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学华为学成长首席行动促动师</w:t>
            </w:r>
          </w:p>
        </w:tc>
      </w:tr>
    </w:tbl>
    <w:p>
      <w:pPr>
        <w:spacing w:before="93" w:beforeLines="30" w:line="600" w:lineRule="exact"/>
        <w:jc w:val="left"/>
        <w:rPr>
          <w:rFonts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（备注：全年具体直播时间及内容以此表为准，如遇特殊情况另行通知。）</w:t>
      </w:r>
    </w:p>
    <w:p>
      <w:pPr>
        <w:widowControl/>
        <w:spacing w:line="610" w:lineRule="exact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widowControl/>
        <w:spacing w:after="156" w:afterLines="50"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四、分享嘉宾导师介绍</w:t>
      </w:r>
    </w:p>
    <w:p>
      <w:pPr>
        <w:spacing w:line="60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张老师</w:t>
      </w:r>
      <w:r>
        <w:rPr>
          <w:rFonts w:ascii="方正黑体_GBK" w:hAnsi="方正仿宋_GB2312" w:eastAsia="方正黑体_GBK" w:cs="方正黑体_GBK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华为集团原移动解决方案总裁（直接向董事会汇报），是华为内部知名的能打硬仗和敢打硬仗的管理者。多家上市公司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/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民营企业的商业战略顾问和高管教练。十多年华为业务实战经验，多个岗位首任开拓主管，具有多次临危受命的经历。兼任华为大学新任国家总经理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/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产品总经理导师和教练，为华为公司培养出多名业务总监和总经理。</w:t>
      </w:r>
    </w:p>
    <w:p>
      <w:pPr>
        <w:tabs>
          <w:tab w:val="left" w:pos="720"/>
        </w:tabs>
        <w:spacing w:line="600" w:lineRule="exact"/>
        <w:ind w:firstLine="640" w:firstLineChars="200"/>
        <w:outlineLvl w:val="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胡老师</w:t>
      </w:r>
      <w:r>
        <w:rPr>
          <w:rFonts w:ascii="方正黑体_GBK" w:hAnsi="方正仿宋_GB2312" w:eastAsia="方正黑体_GBK" w:cs="方正黑体_GBK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华为公司原后备干部系主任，华为全球技术服务部干部部长，华为“蓝血十杰”，《以奋斗者为本》核心编委，畅销书《华为增长法》作者。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1998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年加入华为，历任产品线管理办副总监、人力资源总监等职，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2010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起担任华为后备干部系主任，负责华为中高级干部企业管理哲学学习。对华为企业管理有全面、深入的理解和研究，并具有丰富的管理实践经验，是华为人力资源管理哲学编委会负责人和主要撰写人之一。先后帮助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50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多家知名企业实现有效增长。</w:t>
      </w:r>
    </w:p>
    <w:p>
      <w:pPr>
        <w:tabs>
          <w:tab w:val="left" w:pos="720"/>
        </w:tabs>
        <w:spacing w:line="600" w:lineRule="exact"/>
        <w:ind w:firstLine="640" w:firstLineChars="200"/>
        <w:outlineLvl w:val="0"/>
        <w:rPr>
          <w:rFonts w:ascii="方正黑体_GBK" w:hAnsi="方正仿宋_GB2312" w:eastAsia="方正黑体_GBK" w:cs="方正黑体_GBK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蒋老师</w:t>
      </w:r>
      <w:r>
        <w:rPr>
          <w:rFonts w:ascii="方正黑体_GBK" w:hAnsi="方正仿宋_GB2312" w:eastAsia="方正黑体_GBK" w:cs="方正黑体_GBK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华为公司原流程与变革副总监，华为公司天道酬勤奖获得者，华为大学管理类高端课程特约金牌讲师。著名人力资源与流程变革咨询专家，被誉为实战落地型咨询专家。20余年高层管理与运作经验，领导并参与实施华为业务和组织发展具有深远影响的IPD、ISC、任职资格与绩效等重大项目变革。底蕴背景深厚，实战操作经验丰富，拥有企业管理和组织变革方向完整的体系和行之有效的方法。并作为首席顾问为国内上百家知名企业提供培训及咨询服务。</w:t>
      </w:r>
    </w:p>
    <w:p>
      <w:pPr>
        <w:spacing w:line="600" w:lineRule="exact"/>
        <w:ind w:firstLine="640" w:firstLineChars="200"/>
        <w:rPr>
          <w:rFonts w:ascii="方正仿宋_GB2312" w:hAnsi="方正仿宋_GB2312" w:eastAsia="方正仿宋_GB2312" w:cs="方正仿宋_GB2312"/>
          <w:spacing w:val="6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储老师</w:t>
      </w:r>
      <w:r>
        <w:rPr>
          <w:rFonts w:ascii="方正黑体_GBK" w:hAnsi="方正仿宋_GB2312" w:eastAsia="方正黑体_GBK" w:cs="方正黑体_GBK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华为公司原副总裁。在华为工作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20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年，担任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13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副总裁。先后担任生产计划部总经理、市场计划部总监、华为电气副总裁、财经管理部副总裁、商务部副总裁、交付与服务部副总裁、东非地区部副总裁、人力干部部副部长、华为大学思想教育部部长等职。参与华为多项变革，对经营战略规划、组织与流程变革、财经管理体系、人力资源管理体系及干部管理体系、精益制造与供应链创新体系等有着丰富的管理经验。</w:t>
      </w:r>
    </w:p>
    <w:p>
      <w:pPr>
        <w:spacing w:line="60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卞老师</w:t>
      </w:r>
      <w:r>
        <w:rPr>
          <w:rFonts w:ascii="微软雅黑" w:hAnsi="微软雅黑" w:eastAsia="微软雅黑" w:cs="微软雅黑"/>
          <w:b/>
          <w:bCs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华为公司原财经变革（与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IBM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合作）项目负责人，华为财经风险管理体系创建人。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2005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加入华为，先后从事华为财经、人力资源等管理工作。并负责财经变革项目，建设财经管理流程和信息系统，是华为激励体系创建贡献者。为多家公司提供股权激励、薪酬规划、多元化激励等管理咨询服务，帮助企业突破发展瓶颈。</w:t>
      </w:r>
    </w:p>
    <w:p>
      <w:pPr>
        <w:spacing w:line="60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陈老师</w:t>
      </w:r>
      <w:r>
        <w:rPr>
          <w:rFonts w:ascii="方正黑体_GBK" w:hAnsi="方正仿宋_GB2312" w:eastAsia="方正黑体_GBK" w:cs="方正黑体_GBK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华为公司原人力资源总裁助理，华为人力资源变革项目推行负责人，华为资深人力资源专家，组织变革项目推行总监，海外国家市场拓展总监/公关事务总监，具有丰富的业务管理和人力资源管理经验。2001年加入华为，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先后在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多个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部门任职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参与华为多项管理变革项目，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是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华为公司金牌个人、公司金牌团队等多项公司级荣誉获得者。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为多家上市企业提供服务，被辅导的企业经营得到显著提升。</w:t>
      </w:r>
    </w:p>
    <w:p>
      <w:pPr>
        <w:spacing w:line="600" w:lineRule="exact"/>
        <w:ind w:right="142"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王老师</w:t>
      </w:r>
      <w:r>
        <w:rPr>
          <w:rFonts w:hint="eastAsia" w:ascii="方正仿宋_GB2312" w:hAnsi="方正仿宋_GB2312" w:eastAsia="方正仿宋_GB2312" w:cs="方正仿宋_GB2312"/>
          <w:spacing w:val="4"/>
          <w:sz w:val="32"/>
          <w:szCs w:val="32"/>
        </w:rPr>
        <w:t xml:space="preserve">  19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95年加入华为，曾任职华为某代表处副代表、集团营销管理办主任、亚太地区部管理办主任、东南亚首席代表、集团融资部长，分别在国内市场、海外市场、集团财经等负责过Marketing、销售、资金、融资等业务。华为大学特聘教授、高级管理顾问；清华大学高级访问学者；长期在部分商学院、企业大学等机构授课，集团最高管理奖“蓝血十杰”获得者。</w:t>
      </w:r>
    </w:p>
    <w:p>
      <w:pPr>
        <w:spacing w:line="60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 xml:space="preserve">唐老师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现任华为公司人力资源委员会干部处顾问，华为大学金牌讲师。1997年加入华为。曾任华为公司无线产品线干部部部长，人力资源部招聘调配部部长，公司战略规划团队（CPMT）成员。曾进入国内近百家企业授课、研讨与辅导，被辅导的企业经营得到显著提升。</w:t>
      </w:r>
    </w:p>
    <w:p>
      <w:pPr>
        <w:spacing w:line="60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 xml:space="preserve">曹老师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国内著名的华为专家，战略与人力资源管理专家导师。曾在华为变为正规军的过程中，和IBM、HAY一道，总结出华为成功的营销管理模式和绩效管理模式。曾为华为的高层管理人员，长期担任华为内部高级培训师。10多年来一直在推广华为的理念、体系、模式、方法、模板、规章、制度和流程。已成功帮助数十家企事业单位在“围绕目标的过程管控”“动作级指挥”“操作指导书”等管理规范化和员工职业化方面取得显著成绩，深受中高管理层学员及知识型员工的喜爱。很多客户都是多次请曹老师开展内部培训并开展咨询合作。</w:t>
      </w:r>
    </w:p>
    <w:p>
      <w:pPr>
        <w:spacing w:line="60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 xml:space="preserve">鲁老师  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bidi="ar"/>
        </w:rPr>
        <w:t>华为前业务与软件全球行销副总裁，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海外地区部副总裁、全球业务软件行销副总裁、解决方案部部长、全球案例培训部部长等职，连续多年参与组织华为公司的中高层管理者国学（文史哲）、管理赋能等培训班。在华为公司等企业担任高管的经营实践中，积累了丰富、先进的企业经营管理经验，并对企业经营管理理论进行了长期的研究，特别是在企业商道、企业文化、企业领导力等领域形成了自己的独到见解和方法。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textAlignment w:val="baseline"/>
        <w:rPr>
          <w:rFonts w:ascii="方正仿宋_GB2312" w:hAnsi="方正仿宋_GB2312" w:eastAsia="方正仿宋_GB2312" w:cs="方正仿宋_GB2312"/>
          <w:kern w:val="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 xml:space="preserve">何老师  </w:t>
      </w: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</w:rPr>
        <w:t>曾任华为海外CFO、集团财经战略规划五级专家、华为大学高研班财经管理纲要金牌讲师。他曾原创系列文章《“狼”眼看财报》，在华为内网轰动一时，长期雄踞浏览榜榜首。中国注册会计师、中国注册税务师。在华为工作期间，历经集团财经管理部、中国地区部等多个部门。集团总部结合国内、海外一线的财经管理经历，让他对华为战略财务有了深刻透彻的理解。</w:t>
      </w:r>
    </w:p>
    <w:p>
      <w:pPr>
        <w:spacing w:line="600" w:lineRule="exact"/>
        <w:ind w:firstLine="640" w:firstLineChars="200"/>
        <w:jc w:val="left"/>
        <w:rPr>
          <w:rFonts w:ascii="方正仿宋_GB2312" w:hAnsi="方正仿宋_GB2312" w:eastAsia="方正仿宋_GB2312" w:cs="Times New Roman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王老师</w:t>
      </w:r>
      <w:r>
        <w:rPr>
          <w:rFonts w:hint="eastAsia" w:ascii="方正仿宋_GB2312" w:hAnsi="方正仿宋_GB2312" w:eastAsia="方正仿宋_GB2312" w:cs="Times New Roman"/>
          <w:sz w:val="32"/>
          <w:szCs w:val="32"/>
        </w:rPr>
        <w:t xml:space="preserve">  15年华为工作经验，历任华为代表处总经办主任、地区部流程质量部部长、海外销售管理专家等职务。在承担地区部、代表处销售管理期间，负责LTC、MCR、ITR等集团级重大变革项目在一线的试点落地，对于机会点到订货，客户关系管理等业务有着深厚理论基础和丰富实战经验。担任某办无线产品部主管期间，成功建成了第一个无线通全国样板点。在服务中亚地区部期间，任命为白俄代表处COO。</w:t>
      </w:r>
    </w:p>
    <w:p>
      <w:pPr>
        <w:spacing w:line="600" w:lineRule="exact"/>
        <w:ind w:firstLine="640" w:firstLineChars="200"/>
        <w:jc w:val="left"/>
        <w:rPr>
          <w:rFonts w:ascii="方正仿宋_GB2312" w:hAnsi="方正仿宋_GB2312" w:eastAsia="方正仿宋_GB2312" w:cs="Times New Roman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 xml:space="preserve">许老师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华为原一级营销变革MTL项目CBG项目经理；消费者BG区域首席营销官CMO；16年Marketing与销售市场经验，其中海外近4年。在华为工作期间，曾任华为消费者BG营销运作部部长，负责华为消费者BG一级业务流程架构MTL（Market to lead）；曾任职华为消费者BG全球零售GTM部部长，负责华为消费者产品零售和零售团队建设；曾任华为消费者BG区域首席营销官CMO&amp;零售VP。</w:t>
      </w:r>
    </w:p>
    <w:p>
      <w:pPr>
        <w:spacing w:line="62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王老师</w:t>
      </w:r>
      <w:r>
        <w:rPr>
          <w:rFonts w:hint="eastAsia" w:ascii="微软雅黑" w:hAnsi="微软雅黑" w:eastAsia="微软雅黑" w:cs="微软雅黑"/>
          <w:sz w:val="32"/>
          <w:szCs w:val="32"/>
          <w:shd w:val="clear" w:color="auto" w:fill="FFFFFF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华为全球中心特聘讲师。中国物流与采购联合会采购委首席顾问，年度《中国采购发展报告》副主编，中国物流学会常务理事，美国供应管理协会ISM注册供应管理讲师CPSM认证主讲培训师，著有《对称性竞争与供应链运营系统》和《采购中的财务增值》等研究成果。王老师是企业能力辅导ACP模式发起人，资深管理咨询顾问与培训讲师，有二十多年的企业管理、咨询与职业培训经验，涉及的企业管理咨询与培训领域包括供应链管理、采购管理与物流管理等内容。</w:t>
      </w:r>
    </w:p>
    <w:p>
      <w:pPr>
        <w:pStyle w:val="2"/>
        <w:spacing w:after="0" w:line="620" w:lineRule="exact"/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曾老师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 xml:space="preserve">  曾任华为、惠普中国等多家知名企业销售总监、亚太区重大项目销售总经理等职；实战派营销专家；NLP销售教练；中国第一位签署单个合同金额超过一亿美元的顶尖销售。拥有20年市场、销售及管理经验，8年营销培训、咨询及教练经验。近年潜心研究NLP及教练技术在销售领域的应用，深刻理解“营销即是人性”，已开发出一套独特的落地工具，是国内顶尖的销售教练之一！</w:t>
      </w:r>
    </w:p>
    <w:p>
      <w:pPr>
        <w:spacing w:line="62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王老师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bidi="ar"/>
        </w:rPr>
        <w:t>华为业务流程与组织变革专家，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拥有19年管理咨询经验，复合型管理专家，业务流程与组织变革专家，在供应链管理（ISC）、采购管理、研发管理（IPD）、内控管理等管理领域都拥有丰富的咨询经验。在企业整体管理架构设计、业务流程变革（多集中在研发到供应链的全运营流程范围内）方面的咨询经验尤其丰富。</w:t>
      </w:r>
    </w:p>
    <w:p>
      <w:pPr>
        <w:spacing w:line="62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蒋老师</w:t>
      </w:r>
      <w:r>
        <w:rPr>
          <w:rFonts w:hint="eastAsia" w:ascii="方正仿宋_GB2312" w:hAnsi="方正仿宋_GB2312" w:eastAsia="方正仿宋_GB2312" w:cs="Times New Roman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  <w:shd w:val="clear" w:color="auto" w:fill="FFFFFF"/>
        </w:rPr>
        <w:t>华为管理经验资深研究者，原兰州大学现代咨询策划研究所资深顾问，喜马拉雅百万专栏《一起读华为基本法》作者，百亿企业双胞胎，赢家服饰等多家企业常年咨询顾问。蒋老师将其从华为身上提炼出的值得民营企业学习的管理方法，应用其所服务的咨询企业中，取得显著成效。</w:t>
      </w:r>
    </w:p>
    <w:p>
      <w:pPr>
        <w:spacing w:line="620" w:lineRule="exact"/>
        <w:ind w:firstLine="640" w:firstLineChars="200"/>
        <w:jc w:val="lef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黑体_GBK" w:hAnsi="方正仿宋_GB2312" w:eastAsia="方正黑体_GBK" w:cs="方正黑体_GBK"/>
          <w:sz w:val="32"/>
          <w:szCs w:val="32"/>
        </w:rPr>
        <w:t>段老师</w:t>
      </w:r>
      <w:r>
        <w:rPr>
          <w:rFonts w:hint="eastAsia" w:ascii="方正仿宋_GB2312" w:hAnsi="方正仿宋_GB2312" w:eastAsia="方正仿宋_GB2312" w:cs="Times New Roman"/>
          <w:sz w:val="32"/>
          <w:szCs w:val="32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学华为学成长首席行动促动师，世界500强企业大学负责人，中山大学企业管理研究所学习与发展研究中心主任。在</w:t>
      </w:r>
      <w:r>
        <w:fldChar w:fldCharType="begin"/>
      </w:r>
      <w:r>
        <w:instrText xml:space="preserve"> HYPERLINK "http://www.purise.com/zhuanti/ldl.html" \t "http://www.purise.com/lector/_blank" </w:instrText>
      </w:r>
      <w:r>
        <w:fldChar w:fldCharType="separate"/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领导力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发展、行动学习、人力资源开发、学习型组织、组织变革、</w:t>
      </w:r>
      <w:r>
        <w:fldChar w:fldCharType="begin"/>
      </w:r>
      <w:r>
        <w:instrText xml:space="preserve"> HYPERLINK "http://www.purise.com/zhuanti/pxtx.html" \t "http://www.purise.com/lector/_blank" </w:instrText>
      </w:r>
      <w:r>
        <w:fldChar w:fldCharType="separate"/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培训体系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方正仿宋_GB2312" w:hAnsi="方正仿宋_GB2312" w:eastAsia="方正仿宋_GB2312" w:cs="方正仿宋_GB2312"/>
          <w:sz w:val="32"/>
          <w:szCs w:val="32"/>
          <w:shd w:val="clear" w:color="auto" w:fill="FFFFFF"/>
        </w:rPr>
        <w:t>设计、学习与发展、动态学习系统等广泛的领域有着丰富的经验和比较深入的研究，并具有多年的企业实战经验。先后服务于安利，伟创力等世界500强企业，建立企业大学－伟创力学院。</w:t>
      </w:r>
    </w:p>
    <w:p>
      <w:pPr>
        <w:spacing w:line="600" w:lineRule="exact"/>
        <w:jc w:val="left"/>
        <w:rPr>
          <w:rFonts w:ascii="方正仿宋_GB2312" w:hAnsi="方正仿宋_GB2312" w:eastAsia="方正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方正仿宋_GB2312" w:hAnsi="方正仿宋_GB2312" w:eastAsia="方正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方正仿宋_GB2312" w:hAnsi="方正仿宋_GB2312" w:eastAsia="方正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701" w:right="1418" w:bottom="1701" w:left="1418" w:header="851" w:footer="1418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2485390</wp:posOffset>
              </wp:positionH>
              <wp:positionV relativeFrom="paragraph">
                <wp:posOffset>0</wp:posOffset>
              </wp:positionV>
              <wp:extent cx="497840" cy="186055"/>
              <wp:effectExtent l="0" t="3175" r="635" b="127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Style w:val="8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5.7pt;margin-top:0pt;height:14.65pt;width:39.2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O8c51rUAAAABwEAAA8AAABkcnMvZG93bnJldi54bWxNjzFvwjAUhPdK/Q/W&#10;q9StOAFESRqHAalLtwJC6mbiRxLVfo5sE5J/39epHU93uvuu2k3OihFD7D0pyBcZCKTGm55aBafj&#10;+8sWREyajLaeUMGMEXb140OlS+Pv9InjIbWCSyiWWkGX0lBKGZsOnY4LPyCxd/XB6cQytNIEfedy&#10;Z+UyyzbS6Z54odMD7jtsvg83p+B1OnscIu7x6zo2oevnrf2YlXp+yrM3EAmn9BeGX3xGh5qZLv5G&#10;JgqrYFXka44q4EdsrzcFP7koWBYrkHUl//PXP1BLAwQUAAAACACHTuJAINL3+wsCAAACBAAADgAA&#10;AGRycy9lMm9Eb2MueG1srVNLbtswEN0X6B0I7mvZRpI6guUgjeGiQPoB0h6ApiiLqMghhrQl9wDt&#10;DbrKpvuey+fIkLLcNN1k0Q0xJIdv3nsznF91pmE7hV6DLfhkNOZMWQmltpuCf/m8ejXjzAdhS9GA&#10;VQXfK8+vFi9fzFuXqynU0JQKGYFYn7eu4HUILs8yL2tlhB+BU5YuK0AjAm1xk5UoWkI3TTYdjy+y&#10;FrB0CFJ5T6fL/pIfEfE5gFBVWqolyK1RNvSoqBoRSJKvtfN8kdhWlZLhY1V5FVhTcFIa0kpFKF7H&#10;NVvMRb5B4WotjxTEcyg80WSEtlT0BLUUQbAt6n+gjJYIHqowkmCyXkhyhFRMxk+8uauFU0kLWe3d&#10;yXT//2Dlh90nZLos+JQzKww1/PDzx+H+9+HXdzaN9rTO55R15ygvdG+go6FJUr27BfnVMws3tbAb&#10;dY0Iba1ESfQm8WX26GmP4yPIun0PJdUR2wAJqKvQRO/IDUbo1Jr9qTWqC0zS4dnl69kZ3Ui6mswu&#10;xufnqYLIh8cOfXirwLAYFByp8wlc7G59iGREPqTEWhZWumlS9xv71wElxpNEPvLtmYdu3R3NWEO5&#10;JxkI/TDRV6KgBvzGWUuDVHBL/4az5p0lI+LMDQEOwXoIhJX0sOCBsz68Cf1sbh3qTU24g9XXZNZK&#10;JyHR1Z7DkSWNRtJ3HOM4e4/3KevP1108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O8c51rUAAAA&#10;BwEAAA8AAAAAAAAAAQAgAAAAOAAAAGRycy9kb3ducmV2LnhtbFBLAQIUABQAAAAIAIdO4kAg0vf7&#10;CwIAAAIEAAAOAAAAAAAAAAEAIAAAADkBAABkcnMvZTJvRG9jLnhtbFBLBQYAAAAABgAGAFkBAAC2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8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 w:cs="Times New Roman"/>
                        <w:sz w:val="24"/>
                        <w:szCs w:val="24"/>
                      </w:rPr>
                      <w:t>13</w:t>
                    </w:r>
                    <w:r>
                      <w:rPr>
                        <w:rStyle w:val="8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8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1F"/>
    <w:rsid w:val="00023C1F"/>
    <w:rsid w:val="001A15F2"/>
    <w:rsid w:val="001E15BC"/>
    <w:rsid w:val="00311DA8"/>
    <w:rsid w:val="00346CAC"/>
    <w:rsid w:val="004B2E84"/>
    <w:rsid w:val="006B76AA"/>
    <w:rsid w:val="00B51756"/>
    <w:rsid w:val="57DA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10"/>
    <w:unhideWhenUsed/>
    <w:qFormat/>
    <w:uiPriority w:val="99"/>
    <w:pPr>
      <w:spacing w:after="120" w:line="480" w:lineRule="auto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正文文本 2 字符"/>
    <w:basedOn w:val="7"/>
    <w:link w:val="2"/>
    <w:qFormat/>
    <w:uiPriority w:val="99"/>
    <w:rPr>
      <w:rFonts w:ascii="Calibri" w:hAnsi="Calibri" w:eastAsia="宋体" w:cs="Calibri"/>
      <w:szCs w:val="21"/>
    </w:rPr>
  </w:style>
  <w:style w:type="character" w:customStyle="1" w:styleId="11">
    <w:name w:val="页脚 字符"/>
    <w:basedOn w:val="7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font3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页眉 字符"/>
    <w:basedOn w:val="7"/>
    <w:link w:val="4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1068</Words>
  <Characters>6089</Characters>
  <Lines>50</Lines>
  <Paragraphs>14</Paragraphs>
  <TotalTime>18</TotalTime>
  <ScaleCrop>false</ScaleCrop>
  <LinksUpToDate>false</LinksUpToDate>
  <CharactersWithSpaces>7143</CharactersWithSpaces>
  <Application>WPS Office_5.0.0.7542_F1E327BC-269C-435d-A152-05C5408002CA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2023-02-06T12:04:00Z</dcterms:created>
  <dc:creator>8615158131253</dc:creator>
  <cp:lastModifiedBy>WPS_1621935641</cp:lastModifiedBy>
  <dcterms:modified xsi:type="dcterms:W3CDTF">2023-02-07T21:59:47Z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2052-5.0.0.7542</vt:lpwstr>
  </property>
  <property fmtid="{D5CDD505-2E9C-101B-9397-08002B2CF9AE}" pid="3" name="ICV">
    <vt:lpwstr>0883DF2FA745563A5359E263FABA56A6</vt:lpwstr>
  </property>
</Properties>
</file>