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45" w:rsidRPr="0086381B" w:rsidRDefault="00F61645" w:rsidP="00F61645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F61645" w:rsidRDefault="00F61645" w:rsidP="00F61645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-714" w:type="dxa"/>
        <w:tblLook w:val="04A0" w:firstRow="1" w:lastRow="0" w:firstColumn="1" w:lastColumn="0" w:noHBand="0" w:noVBand="1"/>
      </w:tblPr>
      <w:tblGrid>
        <w:gridCol w:w="512"/>
        <w:gridCol w:w="1893"/>
        <w:gridCol w:w="1701"/>
        <w:gridCol w:w="1559"/>
        <w:gridCol w:w="1560"/>
        <w:gridCol w:w="1316"/>
        <w:gridCol w:w="1377"/>
      </w:tblGrid>
      <w:tr w:rsidR="00F61645" w:rsidRPr="00D0651B" w:rsidTr="00F61645">
        <w:trPr>
          <w:trHeight w:val="6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浙江乾行信息技术</w:t>
            </w:r>
            <w:proofErr w:type="gramEnd"/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浙江乾行信息技术</w:t>
            </w:r>
            <w:proofErr w:type="gramEnd"/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股份有限公司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浙RC-2018-1099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2019/10/25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留置动态监控分析及内网报警系统V1.0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留置动态监控分析及内网报警系统V1.0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杭州上行科技有限公司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浙江数智上行科技发展有限公司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浙RC-2019-0873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2019/8/29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上行运营管理系统V1.0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上行运营管理系统V1.0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杭州上行科技有限公司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浙江数智上行科技发展有限公司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浙RC-2017-0837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2017/9/20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  <w:tr w:rsidR="00F61645" w:rsidRPr="00D0651B" w:rsidTr="00F61645">
        <w:trPr>
          <w:trHeight w:val="54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上行社会治安综合治理信息系统V1.0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5" w:rsidRPr="00D0651B" w:rsidRDefault="00F61645" w:rsidP="0053110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0651B">
              <w:rPr>
                <w:rFonts w:ascii="仿宋" w:eastAsia="仿宋" w:hAnsi="仿宋" w:cs="宋体" w:hint="eastAsia"/>
                <w:kern w:val="0"/>
                <w:sz w:val="24"/>
              </w:rPr>
              <w:t>上行社会治安综合治理信息系统V1.0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45" w:rsidRPr="00D0651B" w:rsidRDefault="00F61645" w:rsidP="0053110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61645" w:rsidRDefault="00F61645" w:rsidP="00F6164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F61645" w:rsidRDefault="003106CF"/>
    <w:sectPr w:rsidR="003106CF" w:rsidRPr="00F61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5"/>
    <w:rsid w:val="003106CF"/>
    <w:rsid w:val="004A4A77"/>
    <w:rsid w:val="005B34E4"/>
    <w:rsid w:val="00933C0E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E80D-A144-4B9C-95B9-30DEE0E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2021-01-08T06:28:00Z</dcterms:created>
  <dcterms:modified xsi:type="dcterms:W3CDTF">2021-01-08T06:28:00Z</dcterms:modified>
</cp:coreProperties>
</file>