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浙江研修班</w:t>
      </w:r>
      <w:r>
        <w:rPr>
          <w:rFonts w:hint="eastAsia" w:ascii="黑体" w:hAnsi="黑体" w:eastAsia="黑体"/>
          <w:sz w:val="32"/>
          <w:szCs w:val="32"/>
        </w:rPr>
        <w:t xml:space="preserve"> ——《华为</w:t>
      </w:r>
      <w:r>
        <w:rPr>
          <w:rFonts w:hint="eastAsia" w:ascii="黑体" w:hAnsi="黑体" w:eastAsia="黑体"/>
          <w:sz w:val="32"/>
          <w:szCs w:val="32"/>
          <w:lang w:val="en-US" w:eastAsia="zh-CN"/>
        </w:rPr>
        <w:t>实战管理</w:t>
      </w:r>
      <w:r>
        <w:rPr>
          <w:rFonts w:hint="eastAsia" w:ascii="黑体" w:hAnsi="黑体" w:eastAsia="黑体"/>
          <w:sz w:val="32"/>
          <w:szCs w:val="32"/>
          <w:lang w:eastAsia="zh-CN"/>
        </w:rPr>
        <w:t>（</w:t>
      </w:r>
      <w:r>
        <w:rPr>
          <w:rFonts w:hint="eastAsia" w:ascii="黑体" w:hAnsi="黑体" w:eastAsia="黑体"/>
          <w:sz w:val="32"/>
          <w:szCs w:val="32"/>
          <w:lang w:val="en-US" w:eastAsia="zh-CN"/>
        </w:rPr>
        <w:t>浙江</w:t>
      </w:r>
      <w:r>
        <w:rPr>
          <w:rFonts w:hint="eastAsia" w:ascii="黑体" w:hAnsi="黑体" w:eastAsia="黑体"/>
          <w:sz w:val="32"/>
          <w:szCs w:val="32"/>
          <w:lang w:eastAsia="zh-CN"/>
        </w:rPr>
        <w:t>）</w:t>
      </w:r>
      <w:r>
        <w:rPr>
          <w:rFonts w:hint="eastAsia" w:ascii="黑体" w:hAnsi="黑体" w:eastAsia="黑体"/>
          <w:sz w:val="32"/>
          <w:szCs w:val="32"/>
          <w:lang w:val="en-US" w:eastAsia="zh-CN"/>
        </w:rPr>
        <w:t>系统研修</w:t>
      </w:r>
      <w:r>
        <w:rPr>
          <w:rFonts w:hint="eastAsia" w:ascii="黑体" w:hAnsi="黑体" w:eastAsia="黑体"/>
          <w:sz w:val="32"/>
          <w:szCs w:val="32"/>
        </w:rPr>
        <w:t>班》</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黑体" w:hAnsi="黑体" w:eastAsia="黑体"/>
          <w:sz w:val="32"/>
          <w:szCs w:val="32"/>
        </w:rPr>
      </w:pPr>
      <w:r>
        <w:rPr>
          <w:rFonts w:hint="eastAsia" w:ascii="黑体" w:hAnsi="黑体" w:eastAsia="黑体"/>
          <w:sz w:val="32"/>
          <w:szCs w:val="32"/>
          <w:lang w:val="en-US" w:eastAsia="zh-CN"/>
        </w:rPr>
        <w:t>一、课程设置及内容</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1.华为实战管理（浙江）系</w:t>
      </w:r>
      <w:bookmarkStart w:id="0" w:name="_GoBack"/>
      <w:bookmarkEnd w:id="0"/>
      <w:r>
        <w:rPr>
          <w:rFonts w:hint="eastAsia" w:ascii="仿宋_GB2312" w:hAnsi="仿宋_GB2312" w:eastAsia="仿宋_GB2312" w:cs="仿宋_GB2312"/>
          <w:sz w:val="32"/>
          <w:szCs w:val="32"/>
          <w:lang w:val="en-US" w:eastAsia="zh-CN"/>
        </w:rPr>
        <w:t>统研修班，全年六大主题十二个学习模块，邀请华为公司六位前副总裁担纲，超过十位前资深高管倾情炬献。</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2.将华为的资深前高管邀请到浙江当地，近距离系统学习华为管理的精髓、构建“以客户为中心”的企业文化内核。</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华为人力资源管理体系的参悟，学习如何激活组织活力，打造“以奋斗者为本”的人才管理体系。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4.学习华为营销创新管理体系，学习如何激发狼性营销与构建营销铁三角运作模式。</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5.学习华为</w:t>
      </w:r>
      <w:r>
        <w:rPr>
          <w:rFonts w:hint="eastAsia" w:ascii="仿宋_GB2312" w:hAnsi="仿宋_GB2312" w:eastAsia="仿宋_GB2312" w:cs="仿宋_GB2312"/>
          <w:sz w:val="32"/>
          <w:szCs w:val="32"/>
        </w:rPr>
        <w:t>如何搭建任职资格、职务描述和绩效衡量三大评价体系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w:t>
      </w:r>
      <w:r>
        <w:rPr>
          <w:rFonts w:hint="eastAsia" w:ascii="仿宋_GB2312" w:hAnsi="仿宋_GB2312" w:eastAsia="仿宋_GB2312" w:cs="仿宋_GB2312"/>
          <w:sz w:val="32"/>
          <w:szCs w:val="32"/>
          <w:lang w:val="en-US" w:eastAsia="zh-CN"/>
        </w:rPr>
        <w:t>基于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长期艰苦奋斗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内部干部</w:t>
      </w:r>
      <w:r>
        <w:rPr>
          <w:rFonts w:hint="eastAsia" w:ascii="仿宋_GB2312" w:hAnsi="仿宋_GB2312" w:eastAsia="仿宋_GB2312" w:cs="仿宋_GB2312"/>
          <w:sz w:val="32"/>
          <w:szCs w:val="32"/>
        </w:rPr>
        <w:t>体系。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学习企业组织变革及转型升级，</w:t>
      </w:r>
      <w:r>
        <w:rPr>
          <w:rFonts w:hint="eastAsia" w:ascii="仿宋_GB2312" w:hAnsi="仿宋_GB2312" w:eastAsia="仿宋_GB2312" w:cs="仿宋_GB2312"/>
          <w:sz w:val="32"/>
          <w:szCs w:val="32"/>
          <w:lang w:val="en-US" w:eastAsia="zh-CN"/>
        </w:rPr>
        <w:t>学习华为大学训战结合的办学方针，</w:t>
      </w:r>
      <w:r>
        <w:rPr>
          <w:rFonts w:hint="eastAsia" w:ascii="仿宋_GB2312" w:hAnsi="仿宋_GB2312" w:eastAsia="仿宋_GB2312" w:cs="仿宋_GB2312"/>
          <w:sz w:val="32"/>
          <w:szCs w:val="32"/>
        </w:rPr>
        <w:t>助力企业</w:t>
      </w:r>
      <w:r>
        <w:rPr>
          <w:rFonts w:hint="eastAsia" w:ascii="仿宋_GB2312" w:hAnsi="仿宋_GB2312" w:eastAsia="仿宋_GB2312" w:cs="仿宋_GB2312"/>
          <w:sz w:val="32"/>
          <w:szCs w:val="32"/>
          <w:lang w:val="en-US" w:eastAsia="zh-CN"/>
        </w:rPr>
        <w:t>干部</w:t>
      </w:r>
      <w:r>
        <w:rPr>
          <w:rFonts w:hint="eastAsia" w:ascii="仿宋_GB2312" w:hAnsi="仿宋_GB2312" w:eastAsia="仿宋_GB2312" w:cs="仿宋_GB2312"/>
          <w:sz w:val="32"/>
          <w:szCs w:val="32"/>
        </w:rPr>
        <w:t>训练，保障企业长期发</w:t>
      </w:r>
      <w:r>
        <w:rPr>
          <w:rFonts w:hint="eastAsia" w:ascii="仿宋_GB2312" w:hAnsi="仿宋_GB2312" w:eastAsia="仿宋_GB2312" w:cs="仿宋_GB2312"/>
          <w:sz w:val="32"/>
          <w:szCs w:val="32"/>
          <w:lang w:val="en-US" w:eastAsia="zh-CN"/>
        </w:rPr>
        <w:t>展。</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7.学习华为的质量管理体系、研发管理与</w:t>
      </w:r>
      <w:r>
        <w:rPr>
          <w:rFonts w:hint="eastAsia" w:ascii="仿宋_GB2312" w:hAnsi="仿宋_GB2312" w:eastAsia="仿宋_GB2312" w:cs="仿宋_GB2312"/>
          <w:sz w:val="32"/>
          <w:szCs w:val="32"/>
        </w:rPr>
        <w:t>创新转型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保障公司研发在市场上处于同业领先地位。</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8.学习华为的国际化战略，华为的“走出去战略”、了解数字化与5G带来的商机，提前谋篇布局。</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参加对象：</w:t>
      </w:r>
      <w:r>
        <w:rPr>
          <w:rFonts w:hint="eastAsia" w:ascii="黑体" w:hAnsi="黑体" w:eastAsia="黑体"/>
          <w:sz w:val="32"/>
          <w:szCs w:val="32"/>
          <w:lang w:val="en-US" w:eastAsia="zh-CN"/>
        </w:rPr>
        <w:t>各企业</w:t>
      </w:r>
      <w:r>
        <w:rPr>
          <w:rFonts w:hint="eastAsia" w:ascii="黑体" w:hAnsi="黑体" w:eastAsia="黑体"/>
          <w:sz w:val="32"/>
          <w:szCs w:val="32"/>
        </w:rPr>
        <w:t>董事长、总（副）经理、企业中高层经营管理人员、各级经济管理干部等。</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时间地点安排：</w:t>
      </w:r>
    </w:p>
    <w:p>
      <w:pPr>
        <w:keepNext w:val="0"/>
        <w:keepLines w:val="0"/>
        <w:pageBreakBefore w:val="0"/>
        <w:widowControl w:val="0"/>
        <w:kinsoku/>
        <w:wordWrap/>
        <w:overflowPunct/>
        <w:topLinePunct w:val="0"/>
        <w:autoSpaceDE/>
        <w:autoSpaceDN/>
        <w:bidi w:val="0"/>
        <w:adjustRightInd/>
        <w:snapToGrid/>
        <w:spacing w:line="556" w:lineRule="exact"/>
        <w:ind w:firstLine="627" w:firstLineChars="19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学习时间：201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5月、7月、9月、11月、2020年1月、3月。共6大模块</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个模块研修2</w:t>
      </w:r>
      <w:r>
        <w:rPr>
          <w:rFonts w:hint="eastAsia" w:ascii="仿宋_GB2312" w:hAnsi="仿宋_GB2312" w:eastAsia="仿宋_GB2312" w:cs="仿宋_GB2312"/>
          <w:sz w:val="32"/>
          <w:szCs w:val="32"/>
        </w:rPr>
        <w:t>天时间。</w:t>
      </w:r>
    </w:p>
    <w:p>
      <w:pPr>
        <w:keepNext w:val="0"/>
        <w:keepLines w:val="0"/>
        <w:pageBreakBefore w:val="0"/>
        <w:widowControl w:val="0"/>
        <w:kinsoku/>
        <w:wordWrap/>
        <w:overflowPunct/>
        <w:topLinePunct w:val="0"/>
        <w:autoSpaceDE/>
        <w:autoSpaceDN/>
        <w:bidi w:val="0"/>
        <w:adjustRightInd/>
        <w:snapToGrid/>
        <w:spacing w:line="556" w:lineRule="exact"/>
        <w:ind w:firstLine="627" w:firstLineChars="196"/>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学习地点：</w:t>
      </w:r>
      <w:r>
        <w:rPr>
          <w:rFonts w:hint="eastAsia" w:ascii="仿宋_GB2312" w:hAnsi="仿宋_GB2312" w:eastAsia="仿宋_GB2312" w:cs="仿宋_GB2312"/>
          <w:sz w:val="32"/>
          <w:szCs w:val="32"/>
          <w:lang w:val="en-US" w:eastAsia="zh-CN"/>
        </w:rPr>
        <w:t>浙江</w:t>
      </w:r>
      <w:r>
        <w:rPr>
          <w:rFonts w:hint="eastAsia" w:ascii="仿宋_GB2312" w:hAnsi="仿宋_GB2312" w:eastAsia="仿宋_GB2312" w:cs="仿宋_GB2312"/>
          <w:sz w:val="32"/>
          <w:szCs w:val="32"/>
          <w:lang w:eastAsia="zh-CN"/>
        </w:rPr>
        <w:t>省内</w:t>
      </w:r>
      <w:r>
        <w:rPr>
          <w:rFonts w:hint="eastAsia" w:ascii="仿宋_GB2312" w:hAnsi="仿宋_GB2312" w:eastAsia="仿宋_GB2312" w:cs="仿宋_GB2312"/>
          <w:sz w:val="32"/>
          <w:szCs w:val="32"/>
          <w:lang w:val="en-US" w:eastAsia="zh-CN"/>
        </w:rPr>
        <w:t>巡回开课</w:t>
      </w:r>
      <w:r>
        <w:rPr>
          <w:rFonts w:hint="eastAsia" w:ascii="仿宋_GB2312" w:hAnsi="仿宋_GB2312" w:eastAsia="仿宋_GB2312" w:cs="仿宋_GB2312"/>
          <w:sz w:val="32"/>
          <w:szCs w:val="32"/>
          <w:lang w:eastAsia="zh-CN"/>
        </w:rPr>
        <w:t>，具体地点待定。</w:t>
      </w:r>
    </w:p>
    <w:p>
      <w:pPr>
        <w:keepNext w:val="0"/>
        <w:keepLines w:val="0"/>
        <w:pageBreakBefore w:val="0"/>
        <w:widowControl w:val="0"/>
        <w:kinsoku/>
        <w:wordWrap/>
        <w:overflowPunct/>
        <w:topLinePunct w:val="0"/>
        <w:autoSpaceDE/>
        <w:autoSpaceDN/>
        <w:bidi w:val="0"/>
        <w:adjustRightInd/>
        <w:snapToGrid/>
        <w:spacing w:line="556" w:lineRule="exact"/>
        <w:ind w:firstLine="627" w:firstLineChars="196"/>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四、具体学习安排：</w:t>
      </w:r>
    </w:p>
    <w:p>
      <w:pPr>
        <w:keepNext w:val="0"/>
        <w:keepLines w:val="0"/>
        <w:pageBreakBefore w:val="0"/>
        <w:widowControl w:val="0"/>
        <w:kinsoku/>
        <w:wordWrap/>
        <w:overflowPunct/>
        <w:topLinePunct w:val="0"/>
        <w:autoSpaceDE/>
        <w:autoSpaceDN/>
        <w:bidi w:val="0"/>
        <w:adjustRightInd/>
        <w:snapToGrid/>
        <w:spacing w:line="556" w:lineRule="exact"/>
        <w:ind w:left="2558" w:leftChars="304" w:hanging="1920" w:hanging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专题模块一：华为文化</w:t>
      </w:r>
    </w:p>
    <w:p>
      <w:pPr>
        <w:keepNext w:val="0"/>
        <w:keepLines w:val="0"/>
        <w:pageBreakBefore w:val="0"/>
        <w:widowControl w:val="0"/>
        <w:kinsoku/>
        <w:wordWrap/>
        <w:overflowPunct/>
        <w:topLinePunct w:val="0"/>
        <w:autoSpaceDE/>
        <w:autoSpaceDN/>
        <w:bidi w:val="0"/>
        <w:adjustRightInd/>
        <w:snapToGrid/>
        <w:spacing w:line="556" w:lineRule="exact"/>
        <w:ind w:firstLine="960" w:firstLine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第一天：专题讲座《华为文化的内核》；</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第二天：专题讲座《以客户为中心的华为文化》。</w:t>
      </w:r>
    </w:p>
    <w:p>
      <w:pPr>
        <w:keepNext w:val="0"/>
        <w:keepLines w:val="0"/>
        <w:pageBreakBefore w:val="0"/>
        <w:widowControl w:val="0"/>
        <w:kinsoku/>
        <w:wordWrap/>
        <w:overflowPunct/>
        <w:topLinePunct w:val="0"/>
        <w:autoSpaceDE/>
        <w:autoSpaceDN/>
        <w:bidi w:val="0"/>
        <w:adjustRightInd/>
        <w:snapToGrid/>
        <w:spacing w:line="556" w:lineRule="exact"/>
        <w:ind w:left="2558" w:leftChars="304" w:hanging="1920" w:hanging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专题模块二：华为人力资源管理</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第三天：专题讲座《长期充满活力的华为组织》；</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第四天：专题讲座《奋斗者组织的人才管理》。</w:t>
      </w:r>
    </w:p>
    <w:p>
      <w:pPr>
        <w:keepNext w:val="0"/>
        <w:keepLines w:val="0"/>
        <w:pageBreakBefore w:val="0"/>
        <w:widowControl w:val="0"/>
        <w:kinsoku/>
        <w:wordWrap/>
        <w:overflowPunct/>
        <w:topLinePunct w:val="0"/>
        <w:autoSpaceDE/>
        <w:autoSpaceDN/>
        <w:bidi w:val="0"/>
        <w:adjustRightInd/>
        <w:snapToGrid/>
        <w:spacing w:line="556" w:lineRule="exact"/>
        <w:ind w:left="2558" w:leftChars="304" w:hanging="1920" w:hanging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专题模块三：华为营销创新</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第五天：专题讲座《华为狼性营销》；</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第六天：专题讲座《华为营销铁三角组织运作》。</w:t>
      </w:r>
    </w:p>
    <w:p>
      <w:pPr>
        <w:keepNext w:val="0"/>
        <w:keepLines w:val="0"/>
        <w:pageBreakBefore w:val="0"/>
        <w:widowControl w:val="0"/>
        <w:kinsoku/>
        <w:wordWrap/>
        <w:overflowPunct/>
        <w:topLinePunct w:val="0"/>
        <w:autoSpaceDE/>
        <w:autoSpaceDN/>
        <w:bidi w:val="0"/>
        <w:adjustRightInd/>
        <w:snapToGrid/>
        <w:spacing w:line="556" w:lineRule="exact"/>
        <w:ind w:left="2558" w:leftChars="304" w:hanging="1920" w:hanging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专题模块四：华为干部管理</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第七天：专题讲座《华为干部管理体系》；</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第八天：专题讲座《训战结合的华为大学建设》。</w:t>
      </w:r>
    </w:p>
    <w:p>
      <w:pPr>
        <w:keepNext w:val="0"/>
        <w:keepLines w:val="0"/>
        <w:pageBreakBefore w:val="0"/>
        <w:widowControl w:val="0"/>
        <w:kinsoku/>
        <w:wordWrap/>
        <w:overflowPunct/>
        <w:topLinePunct w:val="0"/>
        <w:autoSpaceDE/>
        <w:autoSpaceDN/>
        <w:bidi w:val="0"/>
        <w:adjustRightInd/>
        <w:snapToGrid/>
        <w:spacing w:line="556" w:lineRule="exact"/>
        <w:ind w:left="2558" w:leftChars="304" w:hanging="1920" w:hanging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专题模块五：华为流程管理</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第九天：专题讲座《华为质量管理体系》；</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第十天：专题讲座《华为研发管理与创新》。</w:t>
      </w:r>
    </w:p>
    <w:p>
      <w:pPr>
        <w:keepNext w:val="0"/>
        <w:keepLines w:val="0"/>
        <w:pageBreakBefore w:val="0"/>
        <w:widowControl w:val="0"/>
        <w:kinsoku/>
        <w:wordWrap/>
        <w:overflowPunct/>
        <w:topLinePunct w:val="0"/>
        <w:autoSpaceDE/>
        <w:autoSpaceDN/>
        <w:bidi w:val="0"/>
        <w:adjustRightInd/>
        <w:snapToGrid/>
        <w:spacing w:line="556" w:lineRule="exact"/>
        <w:ind w:left="2558" w:leftChars="304" w:hanging="1920" w:hanging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专题模块六：华为国际化战略</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第十一天：专题讲座《华为走出去战略》；</w:t>
      </w:r>
    </w:p>
    <w:p>
      <w:pPr>
        <w:keepNext w:val="0"/>
        <w:keepLines w:val="0"/>
        <w:pageBreakBefore w:val="0"/>
        <w:widowControl w:val="0"/>
        <w:kinsoku/>
        <w:wordWrap/>
        <w:overflowPunct/>
        <w:topLinePunct w:val="0"/>
        <w:autoSpaceDE/>
        <w:autoSpaceDN/>
        <w:bidi w:val="0"/>
        <w:adjustRightInd/>
        <w:snapToGrid/>
        <w:spacing w:line="556" w:lineRule="exact"/>
        <w:ind w:left="2558" w:leftChars="456" w:hanging="160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第十二天：专题讲座《华为国际化、数字化与5G带来的商机》。</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不定期组织学员走进华为（浙江）培训基地和华为智能生活体验馆，感受华为文化的魅力。</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学习</w:t>
      </w:r>
      <w:r>
        <w:rPr>
          <w:rFonts w:ascii="黑体" w:hAnsi="黑体" w:eastAsia="黑体"/>
          <w:sz w:val="32"/>
          <w:szCs w:val="32"/>
        </w:rPr>
        <w:t>费用</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个专题（两天研修内容）学习费用定价为5800元/人，各地市有关单位组织或推荐的会员优惠价4800元/人，全年六大专题学习费用为28800元/人(费用包含：学员培训费、资料费，餐费及其它杂费等）。学员的个人差旅费及住宿费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也可根据会员企业内部团队学习的实际需求来量身定制华为实战管理内部学习研修班</w:t>
      </w:r>
      <w:r>
        <w:rPr>
          <w:rFonts w:hint="eastAsia" w:ascii="仿宋_GB2312" w:hAnsi="仿宋_GB2312" w:eastAsia="仿宋_GB2312" w:cs="仿宋_GB2312"/>
          <w:sz w:val="32"/>
          <w:szCs w:val="32"/>
        </w:rPr>
        <w:t>。</w:t>
      </w:r>
    </w:p>
    <w:p>
      <w:pPr>
        <w:spacing w:line="500" w:lineRule="exact"/>
        <w:ind w:firstLine="627" w:firstLineChars="196"/>
        <w:jc w:val="left"/>
        <w:rPr>
          <w:rFonts w:hint="eastAsia" w:ascii="仿宋_GB2312" w:hAnsi="仿宋_GB2312" w:eastAsia="仿宋_GB2312" w:cs="仿宋_GB2312"/>
          <w:sz w:val="32"/>
          <w:szCs w:val="32"/>
        </w:rPr>
      </w:pPr>
    </w:p>
    <w:p>
      <w:pPr>
        <w:spacing w:line="500" w:lineRule="exact"/>
        <w:ind w:firstLine="627" w:firstLineChars="196"/>
        <w:jc w:val="left"/>
        <w:rPr>
          <w:rFonts w:hint="eastAsia" w:ascii="仿宋_GB2312" w:hAnsi="仿宋_GB2312" w:eastAsia="仿宋_GB2312" w:cs="仿宋_GB2312"/>
          <w:sz w:val="32"/>
          <w:szCs w:val="32"/>
        </w:rPr>
      </w:pPr>
    </w:p>
    <w:p>
      <w:pPr>
        <w:spacing w:line="500" w:lineRule="exact"/>
        <w:jc w:val="left"/>
        <w:rPr>
          <w:rFonts w:hint="eastAsia" w:ascii="仿宋_GB2312" w:hAnsi="仿宋_GB2312" w:eastAsia="仿宋_GB2312" w:cs="仿宋_GB2312"/>
          <w:b/>
          <w:bCs/>
          <w:sz w:val="32"/>
          <w:szCs w:val="32"/>
          <w:lang w:val="en-US" w:eastAsia="zh-CN"/>
        </w:rPr>
      </w:pPr>
    </w:p>
    <w:p>
      <w:pPr>
        <w:spacing w:line="500" w:lineRule="exact"/>
        <w:jc w:val="left"/>
        <w:rPr>
          <w:rFonts w:hint="eastAsia" w:ascii="仿宋_GB2312" w:hAnsi="仿宋_GB2312" w:eastAsia="仿宋_GB2312" w:cs="仿宋_GB2312"/>
          <w:b/>
          <w:bCs/>
          <w:sz w:val="32"/>
          <w:szCs w:val="32"/>
          <w:lang w:val="en-US" w:eastAsia="zh-CN"/>
        </w:rPr>
      </w:pPr>
    </w:p>
    <w:p>
      <w:pPr>
        <w:spacing w:line="500" w:lineRule="exact"/>
        <w:jc w:val="left"/>
        <w:rPr>
          <w:rFonts w:hint="eastAsia" w:ascii="仿宋_GB2312" w:hAnsi="仿宋_GB2312" w:eastAsia="仿宋_GB2312" w:cs="仿宋_GB2312"/>
          <w:b/>
          <w:bCs/>
          <w:sz w:val="32"/>
          <w:szCs w:val="32"/>
          <w:lang w:val="en-US" w:eastAsia="zh-CN"/>
        </w:rPr>
      </w:pPr>
    </w:p>
    <w:p>
      <w:pPr>
        <w:spacing w:line="500" w:lineRule="exact"/>
        <w:jc w:val="left"/>
        <w:rPr>
          <w:rFonts w:hint="eastAsia" w:ascii="仿宋_GB2312" w:hAnsi="仿宋_GB2312" w:eastAsia="仿宋_GB2312" w:cs="仿宋_GB2312"/>
          <w:b/>
          <w:bCs/>
          <w:sz w:val="32"/>
          <w:szCs w:val="32"/>
          <w:lang w:val="en-US" w:eastAsia="zh-CN"/>
        </w:rPr>
      </w:pPr>
    </w:p>
    <w:p>
      <w:pPr>
        <w:spacing w:line="500" w:lineRule="exact"/>
        <w:jc w:val="left"/>
        <w:rPr>
          <w:rFonts w:hint="eastAsia" w:ascii="仿宋_GB2312" w:hAnsi="仿宋_GB2312" w:eastAsia="仿宋_GB2312" w:cs="仿宋_GB2312"/>
          <w:b/>
          <w:bCs/>
          <w:sz w:val="32"/>
          <w:szCs w:val="32"/>
          <w:lang w:val="en-US" w:eastAsia="zh-CN"/>
        </w:rPr>
      </w:pPr>
    </w:p>
    <w:p>
      <w:pPr>
        <w:spacing w:line="500" w:lineRule="exact"/>
        <w:jc w:val="left"/>
        <w:rPr>
          <w:rFonts w:hint="eastAsia" w:ascii="仿宋_GB2312" w:hAnsi="仿宋_GB2312" w:eastAsia="仿宋_GB2312" w:cs="仿宋_GB2312"/>
          <w:b/>
          <w:bCs/>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219CF"/>
    <w:rsid w:val="7062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2019-03-11T05:29:00Z</dcterms:created>
  <dc:creator>nakata</dc:creator>
  <cp:lastModifiedBy>nakata</cp:lastModifiedBy>
  <dcterms:modified xsi:type="dcterms:W3CDTF">2019-03-11T05:29:30Z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